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70AD2">
      <w:pPr>
        <w:pStyle w:val="1"/>
      </w:pPr>
      <w:r>
        <w:fldChar w:fldCharType="begin"/>
      </w:r>
      <w:r>
        <w:instrText>HYPERLINK "http://ivo.garant.ru/document?id=95284&amp;sub=0"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</w:t>
      </w:r>
      <w:r>
        <w:rPr>
          <w:rStyle w:val="a4"/>
          <w:b w:val="0"/>
          <w:bCs w:val="0"/>
        </w:rPr>
        <w:t xml:space="preserve"> 7 апреля 2009 г. N 304</w:t>
      </w:r>
      <w:r>
        <w:rPr>
          <w:rStyle w:val="a4"/>
          <w:b w:val="0"/>
          <w:bCs w:val="0"/>
        </w:rPr>
        <w:br/>
        <w:t>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  <w:r>
        <w:fldChar w:fldCharType="end"/>
      </w:r>
    </w:p>
    <w:p w:rsidR="00000000" w:rsidRDefault="00C70AD2">
      <w:pPr>
        <w:pStyle w:val="afff5"/>
      </w:pPr>
      <w:r>
        <w:t>С изменениями и дополнениями от:</w:t>
      </w:r>
    </w:p>
    <w:p w:rsidR="00000000" w:rsidRDefault="00C70AD2">
      <w:pPr>
        <w:pStyle w:val="aff3"/>
      </w:pPr>
      <w:r>
        <w:t>2 октября 2009 г., 15 августа 2014 г.</w:t>
      </w:r>
    </w:p>
    <w:p w:rsidR="00000000" w:rsidRDefault="00C70AD2"/>
    <w:p w:rsidR="00000000" w:rsidRDefault="00C70AD2">
      <w:pPr>
        <w:pStyle w:val="aff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0AD2">
      <w:pPr>
        <w:pStyle w:val="aff0"/>
        <w:ind w:left="139" w:hanging="139"/>
      </w:pPr>
      <w:r>
        <w:t xml:space="preserve">См. </w:t>
      </w:r>
      <w:hyperlink r:id="rId4" w:history="1">
        <w:r>
          <w:rPr>
            <w:rStyle w:val="a4"/>
          </w:rPr>
          <w:t>комментарий</w:t>
        </w:r>
      </w:hyperlink>
      <w:r>
        <w:t xml:space="preserve"> к настоящему постановлению</w:t>
      </w:r>
    </w:p>
    <w:p w:rsidR="00000000" w:rsidRDefault="00C70AD2">
      <w:pPr>
        <w:pStyle w:val="aff0"/>
      </w:pPr>
    </w:p>
    <w:p w:rsidR="00000000" w:rsidRDefault="00C70AD2">
      <w:r>
        <w:t xml:space="preserve">В соответствии со </w:t>
      </w:r>
      <w:hyperlink r:id="rId5" w:history="1">
        <w:r>
          <w:rPr>
            <w:rStyle w:val="a4"/>
          </w:rPr>
          <w:t>статьей 144</w:t>
        </w:r>
      </w:hyperlink>
      <w:r>
        <w:t xml:space="preserve"> Федеральн</w:t>
      </w:r>
      <w:r>
        <w:t>ого закона "Технический регламент о требованиях пожарной безопасности" Правительство Российской Федерации постановляет:</w:t>
      </w:r>
    </w:p>
    <w:p w:rsidR="00000000" w:rsidRDefault="00C70AD2">
      <w:bookmarkStart w:id="1" w:name="sub_1"/>
      <w:r>
        <w:t>1. Утвердить прилагаемые Правила оценки соответствия объектов защиты (продукции) установленным требованиям пожарной безопасности пу</w:t>
      </w:r>
      <w:r>
        <w:t>тем независимой оценки пожарного риска.</w:t>
      </w:r>
    </w:p>
    <w:p w:rsidR="00000000" w:rsidRDefault="00C70AD2">
      <w:bookmarkStart w:id="2" w:name="sub_2"/>
      <w:bookmarkEnd w:id="1"/>
      <w:r>
        <w:t>2. Настоящее постановление вступает в силу с 1 мая 2009 г.</w:t>
      </w:r>
    </w:p>
    <w:bookmarkEnd w:id="2"/>
    <w:p w:rsidR="00000000" w:rsidRDefault="00C70AD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0AD2">
            <w:pPr>
              <w:pStyle w:val="afff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0AD2">
            <w:pPr>
              <w:pStyle w:val="afff"/>
              <w:jc w:val="right"/>
            </w:pPr>
            <w:r>
              <w:t>В. Путин</w:t>
            </w:r>
          </w:p>
        </w:tc>
      </w:tr>
    </w:tbl>
    <w:p w:rsidR="00000000" w:rsidRDefault="00C70AD2"/>
    <w:p w:rsidR="00000000" w:rsidRDefault="00C70AD2">
      <w:pPr>
        <w:pStyle w:val="afff8"/>
      </w:pPr>
      <w:r>
        <w:t>Москва</w:t>
      </w:r>
    </w:p>
    <w:p w:rsidR="00000000" w:rsidRDefault="00C70AD2">
      <w:pPr>
        <w:pStyle w:val="afff8"/>
      </w:pPr>
      <w:r>
        <w:t>7 апреля 2009 г.</w:t>
      </w:r>
    </w:p>
    <w:p w:rsidR="00000000" w:rsidRDefault="00C70AD2">
      <w:pPr>
        <w:pStyle w:val="afff8"/>
      </w:pPr>
      <w:r>
        <w:t>N 304</w:t>
      </w:r>
    </w:p>
    <w:p w:rsidR="00000000" w:rsidRDefault="00C70AD2"/>
    <w:p w:rsidR="00000000" w:rsidRDefault="00C70AD2">
      <w:pPr>
        <w:pStyle w:val="1"/>
      </w:pPr>
      <w:bookmarkStart w:id="3" w:name="sub_1000"/>
      <w:r>
        <w:t>Правила</w:t>
      </w:r>
      <w:r>
        <w:br/>
        <w:t>оценки соответствия объектов защиты</w:t>
      </w:r>
      <w:r>
        <w:t xml:space="preserve"> (продукции) установленным требованиям пожарной безопасности путем независимой оценки пожарного риска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апреля 2009 г. N 304)</w:t>
      </w:r>
    </w:p>
    <w:bookmarkEnd w:id="3"/>
    <w:p w:rsidR="00000000" w:rsidRDefault="00C70AD2">
      <w:pPr>
        <w:pStyle w:val="afff5"/>
      </w:pPr>
      <w:r>
        <w:t>С изменениями и дополнениями от:</w:t>
      </w:r>
    </w:p>
    <w:p w:rsidR="00000000" w:rsidRDefault="00C70AD2">
      <w:pPr>
        <w:pStyle w:val="aff3"/>
      </w:pPr>
      <w:r>
        <w:t>2 октября 2009 г., 15 августа 2014 г.</w:t>
      </w:r>
    </w:p>
    <w:p w:rsidR="00000000" w:rsidRDefault="00C70AD2"/>
    <w:p w:rsidR="00000000" w:rsidRDefault="00C70AD2">
      <w:bookmarkStart w:id="4" w:name="sub_1001"/>
      <w:r>
        <w:t xml:space="preserve">1. Настоящие Правила устанавливают порядок оценки соответствия объектов защиты (продукции) (далее - объект защиты) требованиям пожарной безопасности, установленным </w:t>
      </w:r>
      <w:hyperlink r:id="rId6" w:history="1">
        <w:r>
          <w:rPr>
            <w:rStyle w:val="a4"/>
          </w:rPr>
          <w:t>федеральными законами</w:t>
        </w:r>
      </w:hyperlink>
      <w:r>
        <w:t xml:space="preserve"> о технических регламентах и нормативными документами по пожарной безопасности, путем независимой </w:t>
      </w:r>
      <w:hyperlink r:id="rId7" w:history="1">
        <w:r>
          <w:rPr>
            <w:rStyle w:val="a4"/>
          </w:rPr>
          <w:t>оценки пожарного риска</w:t>
        </w:r>
      </w:hyperlink>
      <w:r>
        <w:t>.</w:t>
      </w:r>
    </w:p>
    <w:p w:rsidR="00000000" w:rsidRDefault="00C70AD2">
      <w:bookmarkStart w:id="5" w:name="sub_1002"/>
      <w:bookmarkEnd w:id="4"/>
      <w:r>
        <w:t>2. Независимая оце</w:t>
      </w:r>
      <w:r>
        <w:t>нка пожарного риска проводится на основании договора, заключаемого между собственником или иным законным владельцем объекта защиты (далее - собственник) и экспертной организацией, осуществляющей деятельность в области оценки пожарного риска (далее - экспер</w:t>
      </w:r>
      <w:r>
        <w:t xml:space="preserve">тная организация). </w:t>
      </w:r>
      <w:hyperlink r:id="rId8" w:history="1">
        <w:r>
          <w:rPr>
            <w:rStyle w:val="a4"/>
          </w:rPr>
          <w:t>Порядок</w:t>
        </w:r>
      </w:hyperlink>
      <w:r>
        <w:t xml:space="preserve"> получения экспертной организацией добровольной аккредитации устанавливается Министерством Российской Федерации по делам гражданской </w:t>
      </w:r>
      <w:r>
        <w:lastRenderedPageBreak/>
        <w:t>обороны, чрезвычайным ситуациям и л</w:t>
      </w:r>
      <w:r>
        <w:t>иквидации последствий стихийных бедствий.</w:t>
      </w:r>
    </w:p>
    <w:p w:rsidR="00000000" w:rsidRDefault="00C70AD2">
      <w:bookmarkStart w:id="6" w:name="sub_1003"/>
      <w:bookmarkEnd w:id="5"/>
      <w:r>
        <w:t>3. Экспертная организация не может проводить независимую оценку пожарного риска в отношении объекта защиты:</w:t>
      </w:r>
    </w:p>
    <w:p w:rsidR="00000000" w:rsidRDefault="00C70AD2">
      <w:bookmarkStart w:id="7" w:name="sub_1031"/>
      <w:bookmarkEnd w:id="6"/>
      <w:r>
        <w:t>а) на котором этой организацией выполнялись другие работы и (или) услуги в</w:t>
      </w:r>
      <w:r>
        <w:t xml:space="preserve"> области пожарной безопасности;</w:t>
      </w:r>
    </w:p>
    <w:p w:rsidR="00000000" w:rsidRDefault="00C70AD2">
      <w:bookmarkStart w:id="8" w:name="sub_1032"/>
      <w:bookmarkEnd w:id="7"/>
      <w:r>
        <w:t>б) который принадлежит ей на праве собственности или ином законном основании.</w:t>
      </w:r>
    </w:p>
    <w:p w:rsidR="00000000" w:rsidRDefault="00C70AD2">
      <w:bookmarkStart w:id="9" w:name="sub_1004"/>
      <w:bookmarkEnd w:id="8"/>
      <w:r>
        <w:t>4. Независимая оценка пожарного риска включает следующее:</w:t>
      </w:r>
    </w:p>
    <w:p w:rsidR="00000000" w:rsidRDefault="00C70AD2">
      <w:bookmarkStart w:id="10" w:name="sub_1041"/>
      <w:bookmarkEnd w:id="9"/>
      <w:r>
        <w:t>а) анализ документов, характеризующих по</w:t>
      </w:r>
      <w:r>
        <w:t>жарную опасность объекта защиты;</w:t>
      </w:r>
    </w:p>
    <w:p w:rsidR="00000000" w:rsidRDefault="00C70AD2">
      <w:bookmarkStart w:id="11" w:name="sub_1042"/>
      <w:bookmarkEnd w:id="10"/>
      <w:r>
        <w:t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</w:t>
      </w:r>
      <w:r>
        <w:t>ые ценности опасных факторов пожара, а также для определения наличия условий соответствия объекта защиты требованиям пожарной безопасности;</w:t>
      </w:r>
    </w:p>
    <w:p w:rsidR="00000000" w:rsidRDefault="00C70AD2">
      <w:bookmarkStart w:id="12" w:name="sub_1043"/>
      <w:bookmarkEnd w:id="11"/>
      <w:r>
        <w:t>в) в случаях, установленных нормативными документами по пожарной безопасности, - проведение необходи</w:t>
      </w:r>
      <w:r>
        <w:t xml:space="preserve">мых исследований, испытаний, расчетов и экспертиз, а в случаях,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требованиях пожарной безопасности", - расчетов по оценке пожарного ри</w:t>
      </w:r>
      <w:r>
        <w:t>ска;</w:t>
      </w:r>
    </w:p>
    <w:p w:rsidR="00000000" w:rsidRDefault="00C70AD2">
      <w:bookmarkStart w:id="13" w:name="sub_1044"/>
      <w:bookmarkEnd w:id="12"/>
      <w:r>
        <w:t>г)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</w:t>
      </w:r>
      <w:r>
        <w:t>бованиям пожарной безопасности.</w:t>
      </w:r>
    </w:p>
    <w:p w:rsidR="00000000" w:rsidRDefault="00C70AD2">
      <w:pPr>
        <w:pStyle w:val="aff0"/>
        <w:rPr>
          <w:color w:val="000000"/>
          <w:sz w:val="16"/>
          <w:szCs w:val="16"/>
        </w:rPr>
      </w:pPr>
      <w:bookmarkStart w:id="14" w:name="sub_1005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C70AD2">
      <w:pPr>
        <w:pStyle w:val="aff1"/>
      </w:pPr>
      <w:r>
        <w:fldChar w:fldCharType="begin"/>
      </w:r>
      <w:r>
        <w:instrText>HYPERLINK "http://ivo.garant.ru/document?id=70621344&amp;sub=1041"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816 пункт 5 изложен в новой редакции</w:t>
      </w:r>
    </w:p>
    <w:p w:rsidR="00000000" w:rsidRDefault="00C70AD2">
      <w:pPr>
        <w:pStyle w:val="aff1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70AD2">
      <w:r>
        <w:t>5. 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</w:t>
      </w:r>
      <w:r>
        <w:t xml:space="preserve">аемого) собственнику на бумажном носителе или в форме электронного документа, подписанного усиленной </w:t>
      </w:r>
      <w:hyperlink r:id="rId11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C70AD2">
      <w:r>
        <w:t>Заключение, созданное в форме электронного документа</w:t>
      </w:r>
      <w:r>
        <w:t>, направляется собственнику на адрес электронной почты, указанный в договоре, или иным способом в порядке, установленном договором, подтверждающим факт направления заключения.</w:t>
      </w:r>
    </w:p>
    <w:p w:rsidR="00000000" w:rsidRDefault="00C70AD2">
      <w:bookmarkStart w:id="15" w:name="sub_1006"/>
      <w:r>
        <w:t>6. В заключении указываются:</w:t>
      </w:r>
    </w:p>
    <w:p w:rsidR="00000000" w:rsidRDefault="00C70AD2">
      <w:bookmarkStart w:id="16" w:name="sub_1061"/>
      <w:bookmarkEnd w:id="15"/>
      <w:r>
        <w:t>а) наименование и адрес экс</w:t>
      </w:r>
      <w:r>
        <w:t>пертной организации;</w:t>
      </w:r>
    </w:p>
    <w:p w:rsidR="00000000" w:rsidRDefault="00C70AD2">
      <w:bookmarkStart w:id="17" w:name="sub_1062"/>
      <w:bookmarkEnd w:id="16"/>
      <w:r>
        <w:t>б) дата и номер договора, в соответствии с которым проведена независимая оценка пожарного риска;</w:t>
      </w:r>
    </w:p>
    <w:p w:rsidR="00000000" w:rsidRDefault="00C70AD2">
      <w:bookmarkStart w:id="18" w:name="sub_1063"/>
      <w:bookmarkEnd w:id="17"/>
      <w:r>
        <w:t>в) реквизиты собственника;</w:t>
      </w:r>
    </w:p>
    <w:p w:rsidR="00000000" w:rsidRDefault="00C70AD2">
      <w:bookmarkStart w:id="19" w:name="sub_1064"/>
      <w:bookmarkEnd w:id="18"/>
      <w:r>
        <w:t>г) описание объекта защиты, в отношении которого проводилась не</w:t>
      </w:r>
      <w:r>
        <w:t>зависимая оценка пожарного риска;</w:t>
      </w:r>
    </w:p>
    <w:p w:rsidR="00000000" w:rsidRDefault="00C70AD2">
      <w:bookmarkStart w:id="20" w:name="sub_1065"/>
      <w:bookmarkEnd w:id="19"/>
      <w:r>
        <w:t xml:space="preserve">д) фамилии, имена и отчества лиц (должностных лиц), участвовавших в </w:t>
      </w:r>
      <w:r>
        <w:lastRenderedPageBreak/>
        <w:t>проведении независимой оценки пожарного риска;</w:t>
      </w:r>
    </w:p>
    <w:p w:rsidR="00000000" w:rsidRDefault="00C70AD2">
      <w:bookmarkStart w:id="21" w:name="sub_1066"/>
      <w:bookmarkEnd w:id="20"/>
      <w:r>
        <w:t>е) результаты проведения независимой оценки пожарного риска, в том числе ре</w:t>
      </w:r>
      <w:r>
        <w:t xml:space="preserve">зультаты выполнения работ, предусмотренных </w:t>
      </w:r>
      <w:hyperlink w:anchor="sub_1041" w:history="1">
        <w:r>
          <w:rPr>
            <w:rStyle w:val="a4"/>
          </w:rPr>
          <w:t>подпунктами "а" - "в" пункта 4</w:t>
        </w:r>
      </w:hyperlink>
      <w:r>
        <w:t xml:space="preserve"> настоящих Правил;</w:t>
      </w:r>
    </w:p>
    <w:p w:rsidR="00000000" w:rsidRDefault="00C70AD2">
      <w:bookmarkStart w:id="22" w:name="sub_1067"/>
      <w:bookmarkEnd w:id="21"/>
      <w:r>
        <w:t xml:space="preserve">ж) вывод о выполнении условий соответствия объекта защиты требованиям пожарной безопасности либо в случае их невыполнения </w:t>
      </w:r>
      <w:r>
        <w:t>- рекомендации о принятии мер, предусмотренных подпунктом "г" пункта 4 настоящих Правил.</w:t>
      </w:r>
    </w:p>
    <w:p w:rsidR="00000000" w:rsidRDefault="00C70AD2">
      <w:pPr>
        <w:pStyle w:val="aff0"/>
        <w:rPr>
          <w:color w:val="000000"/>
          <w:sz w:val="16"/>
          <w:szCs w:val="16"/>
        </w:rPr>
      </w:pPr>
      <w:bookmarkStart w:id="23" w:name="sub_1007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C70AD2">
      <w:pPr>
        <w:pStyle w:val="aff1"/>
      </w:pPr>
      <w:r>
        <w:fldChar w:fldCharType="begin"/>
      </w:r>
      <w:r>
        <w:instrText>HYPERLINK "http://ivo.garant.ru/document?id=70621344&amp;sub=1042"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</w:t>
      </w:r>
      <w:r>
        <w:t>. N 816 в пункт 7 внесены изменения</w:t>
      </w:r>
    </w:p>
    <w:p w:rsidR="00000000" w:rsidRDefault="00C70AD2">
      <w:pPr>
        <w:pStyle w:val="aff1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70AD2">
      <w:r>
        <w:t>7. Заключение подписывается должностными лицами экспертной организации, проводившими независимую оценку пожарного риска, утверждается руководителем экспертной организации и скрепляется печатью экспертной организации.</w:t>
      </w:r>
    </w:p>
    <w:p w:rsidR="00000000" w:rsidRDefault="00C70AD2">
      <w:bookmarkStart w:id="24" w:name="sub_1072"/>
      <w:r>
        <w:t>Заключение, созданное в форме э</w:t>
      </w:r>
      <w:r>
        <w:t xml:space="preserve">лектронного документа, подписывается усиленной </w:t>
      </w:r>
      <w:hyperlink r:id="rId1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экспертной организации.</w:t>
      </w:r>
    </w:p>
    <w:p w:rsidR="00000000" w:rsidRDefault="00C70AD2">
      <w:pPr>
        <w:pStyle w:val="aff0"/>
        <w:rPr>
          <w:color w:val="000000"/>
          <w:sz w:val="16"/>
          <w:szCs w:val="16"/>
        </w:rPr>
      </w:pPr>
      <w:bookmarkStart w:id="25" w:name="sub_1008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C70AD2">
      <w:pPr>
        <w:pStyle w:val="aff1"/>
      </w:pPr>
      <w:r>
        <w:fldChar w:fldCharType="begin"/>
      </w:r>
      <w:r>
        <w:instrText>HYPERLINK "http://iv</w:instrText>
      </w:r>
      <w:r>
        <w:instrText>o.garant.ru/document?id=70621344&amp;sub=1043"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816 в пункт 8 внесены изменения</w:t>
      </w:r>
    </w:p>
    <w:p w:rsidR="00000000" w:rsidRDefault="00C70AD2">
      <w:pPr>
        <w:pStyle w:val="aff1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70AD2">
      <w:r>
        <w:t>8. В течение 5 рабо</w:t>
      </w:r>
      <w:r>
        <w:t>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</w:t>
      </w:r>
      <w:r>
        <w:t>хийных бедствий,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подразделения, или в структурное подразделение специального или в</w:t>
      </w:r>
      <w:r>
        <w:t>оинского 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</w:t>
      </w:r>
      <w:r>
        <w:t>иториальных образованиях, особо важных и режимных организациях.</w:t>
      </w:r>
    </w:p>
    <w:p w:rsidR="00000000" w:rsidRDefault="00C70AD2">
      <w:bookmarkStart w:id="26" w:name="sub_1082"/>
      <w:r>
        <w:t>В случае если заключение создано на бумажном носителе, копия такого заключения направляется по желанию заявителя в форме электронного документа с использованием федеральной государстве</w:t>
      </w:r>
      <w:r>
        <w:t>нной информационной системы "</w:t>
      </w:r>
      <w:hyperlink r:id="rId15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(функций)", официального сайта уполномоченной экспертной организации в информационно-телекоммуникационной сети "</w:t>
      </w:r>
      <w:r>
        <w:t>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заключения.</w:t>
      </w:r>
    </w:p>
    <w:p w:rsidR="00000000" w:rsidRDefault="00C70AD2">
      <w:bookmarkStart w:id="27" w:name="sub_1083"/>
      <w:bookmarkEnd w:id="26"/>
      <w:r>
        <w:t>В случае если заключение создано в форме электронного документа, такое за</w:t>
      </w:r>
      <w:r>
        <w:t xml:space="preserve">ключение направляется в указанные в настоящем пункте органы с </w:t>
      </w:r>
      <w:r>
        <w:lastRenderedPageBreak/>
        <w:t>использованием федеральной государственной информационной системы "</w:t>
      </w:r>
      <w:hyperlink r:id="rId1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(функций)", </w:t>
      </w:r>
      <w:r>
        <w:t>официального сайта уполномоченной экспертной организации в информационно-телекоммуникационной сети "Интернет" (при наличии технической возможности) или иным способом, подтверждающим факт направления заключения.</w:t>
      </w:r>
    </w:p>
    <w:bookmarkEnd w:id="27"/>
    <w:p w:rsidR="00000000" w:rsidRDefault="00C70AD2">
      <w:pPr>
        <w:pStyle w:val="aff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0AD2">
      <w:pPr>
        <w:pStyle w:val="aff0"/>
      </w:pPr>
      <w:r>
        <w:t xml:space="preserve">См. </w:t>
      </w:r>
      <w:hyperlink r:id="rId17" w:history="1">
        <w:r>
          <w:rPr>
            <w:rStyle w:val="a4"/>
          </w:rPr>
          <w:t>Административный регламент</w:t>
        </w:r>
      </w:hyperlink>
      <w:r>
        <w:t xml:space="preserve"> МЧС России предоставления государственной услуги по приему копий заключений о независимой оценке пожарного риска,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МЧС России от 29 июля 2015 г. N 405</w:t>
      </w:r>
    </w:p>
    <w:p w:rsidR="00C70AD2" w:rsidRDefault="00C70AD2">
      <w:pPr>
        <w:pStyle w:val="aff0"/>
      </w:pPr>
    </w:p>
    <w:sectPr w:rsidR="00C70AD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D7"/>
    <w:rsid w:val="00093AD7"/>
    <w:rsid w:val="00C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2F44CF-25CD-4714-A79B-02906BDD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1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2">
    <w:name w:val="Заголовок *"/>
    <w:basedOn w:val="af1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3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4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6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7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8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a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c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pPr>
      <w:spacing w:after="0"/>
      <w:jc w:val="left"/>
    </w:pPr>
  </w:style>
  <w:style w:type="paragraph" w:customStyle="1" w:styleId="afe">
    <w:name w:val="Интерактивный заголовок"/>
    <w:basedOn w:val="af2"/>
    <w:next w:val="a"/>
    <w:uiPriority w:val="99"/>
    <w:rPr>
      <w:u w:val="single"/>
    </w:r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 версии"/>
    <w:basedOn w:val="aff0"/>
    <w:next w:val="a"/>
    <w:uiPriority w:val="99"/>
    <w:rPr>
      <w:i/>
      <w:iCs/>
    </w:rPr>
  </w:style>
  <w:style w:type="paragraph" w:customStyle="1" w:styleId="aff2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3">
    <w:name w:val="Информация об изменениях"/>
    <w:basedOn w:val="aff2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5">
    <w:name w:val="Колонтитул (левый)"/>
    <w:basedOn w:val="aff4"/>
    <w:next w:val="a"/>
    <w:uiPriority w:val="99"/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7">
    <w:name w:val="Колонтитул (правый)"/>
    <w:basedOn w:val="aff6"/>
    <w:next w:val="a"/>
    <w:uiPriority w:val="99"/>
    <w:rPr>
      <w:sz w:val="16"/>
      <w:szCs w:val="16"/>
    </w:rPr>
  </w:style>
  <w:style w:type="paragraph" w:customStyle="1" w:styleId="aff8">
    <w:name w:val="Комментарий пользователя"/>
    <w:basedOn w:val="aff0"/>
    <w:next w:val="a"/>
    <w:uiPriority w:val="99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6"/>
    <w:next w:val="a"/>
    <w:uiPriority w:val="99"/>
  </w:style>
  <w:style w:type="paragraph" w:customStyle="1" w:styleId="affa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b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d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pPr>
      <w:ind w:firstLine="0"/>
    </w:pPr>
  </w:style>
  <w:style w:type="paragraph" w:customStyle="1" w:styleId="afff0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pPr>
      <w:ind w:left="140"/>
    </w:pPr>
  </w:style>
  <w:style w:type="character" w:customStyle="1" w:styleId="afff2">
    <w:name w:val="Опечатки"/>
    <w:uiPriority w:val="99"/>
    <w:rPr>
      <w:color w:val="FF0000"/>
    </w:rPr>
  </w:style>
  <w:style w:type="paragraph" w:customStyle="1" w:styleId="afff3">
    <w:name w:val="Переменная часть"/>
    <w:basedOn w:val="af1"/>
    <w:next w:val="a"/>
    <w:uiPriority w:val="99"/>
    <w:rPr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2"/>
    <w:next w:val="a"/>
    <w:uiPriority w:val="99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7">
    <w:name w:val="Постоянная часть *"/>
    <w:basedOn w:val="af1"/>
    <w:next w:val="a"/>
    <w:uiPriority w:val="99"/>
    <w:rPr>
      <w:sz w:val="22"/>
      <w:szCs w:val="22"/>
    </w:rPr>
  </w:style>
  <w:style w:type="paragraph" w:customStyle="1" w:styleId="afff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9">
    <w:name w:val="Пример."/>
    <w:basedOn w:val="a6"/>
    <w:next w:val="a"/>
    <w:uiPriority w:val="99"/>
  </w:style>
  <w:style w:type="paragraph" w:customStyle="1" w:styleId="afffa">
    <w:name w:val="Примечание."/>
    <w:basedOn w:val="a6"/>
    <w:next w:val="a"/>
    <w:uiPriority w:val="99"/>
  </w:style>
  <w:style w:type="character" w:customStyle="1" w:styleId="afffb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  <w:uiPriority w:val="99"/>
  </w:style>
  <w:style w:type="character" w:customStyle="1" w:styleId="afffe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f">
    <w:name w:val="Текст в таблице"/>
    <w:basedOn w:val="afff"/>
    <w:next w:val="a"/>
    <w:uiPriority w:val="99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2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3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5">
    <w:name w:val="Центрированный (таблица)"/>
    <w:basedOn w:val="aff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7412&amp;sub=1000" TargetMode="External"/><Relationship Id="rId13" Type="http://schemas.openxmlformats.org/officeDocument/2006/relationships/hyperlink" Target="http://ivo.garant.ru/document?id=12084522&amp;sub=54" TargetMode="External"/><Relationship Id="rId18" Type="http://schemas.openxmlformats.org/officeDocument/2006/relationships/hyperlink" Target="http://ivo.garant.ru/document?id=7107378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1034730&amp;sub=0" TargetMode="External"/><Relationship Id="rId12" Type="http://schemas.openxmlformats.org/officeDocument/2006/relationships/hyperlink" Target="http://ivo.garant.ru/document?id=57957768&amp;sub=1007" TargetMode="External"/><Relationship Id="rId17" Type="http://schemas.openxmlformats.org/officeDocument/2006/relationships/hyperlink" Target="http://ivo.garant.ru/document?id=71073782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90941&amp;sub=277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1584&amp;sub=0" TargetMode="External"/><Relationship Id="rId11" Type="http://schemas.openxmlformats.org/officeDocument/2006/relationships/hyperlink" Target="http://ivo.garant.ru/document?id=12084522&amp;sub=54" TargetMode="External"/><Relationship Id="rId5" Type="http://schemas.openxmlformats.org/officeDocument/2006/relationships/hyperlink" Target="http://ivo.garant.ru/document?id=12061584&amp;sub=1442" TargetMode="External"/><Relationship Id="rId15" Type="http://schemas.openxmlformats.org/officeDocument/2006/relationships/hyperlink" Target="http://ivo.garant.ru/document?id=890941&amp;sub=2770" TargetMode="External"/><Relationship Id="rId10" Type="http://schemas.openxmlformats.org/officeDocument/2006/relationships/hyperlink" Target="http://ivo.garant.ru/document?id=57957768&amp;sub=100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?id=5598716&amp;sub=0" TargetMode="External"/><Relationship Id="rId9" Type="http://schemas.openxmlformats.org/officeDocument/2006/relationships/hyperlink" Target="http://ivo.garant.ru/document?id=12061584&amp;sub=606" TargetMode="External"/><Relationship Id="rId14" Type="http://schemas.openxmlformats.org/officeDocument/2006/relationships/hyperlink" Target="http://ivo.garant.ru/document?id=57957768&amp;sub=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SERGEY_ZEMSKOV</cp:lastModifiedBy>
  <cp:revision>2</cp:revision>
  <dcterms:created xsi:type="dcterms:W3CDTF">2017-01-12T08:31:00Z</dcterms:created>
  <dcterms:modified xsi:type="dcterms:W3CDTF">2017-01-12T08:31:00Z</dcterms:modified>
</cp:coreProperties>
</file>